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797074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GoBack"/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25986">
        <w:rPr>
          <w:rFonts w:ascii="Times New Roman" w:hAnsi="Times New Roman"/>
          <w:b/>
          <w:color w:val="FF0000"/>
          <w:sz w:val="22"/>
          <w:szCs w:val="22"/>
        </w:rPr>
        <w:t>07:07:39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925986">
        <w:rPr>
          <w:rFonts w:ascii="Times New Roman" w:hAnsi="Times New Roman"/>
          <w:b/>
          <w:color w:val="FF0000"/>
          <w:sz w:val="22"/>
          <w:szCs w:val="22"/>
        </w:rPr>
        <w:t>:674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bookmarkEnd w:id="0"/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797074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79707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E12BC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25986">
              <w:rPr>
                <w:rFonts w:ascii="Times New Roman" w:hAnsi="Times New Roman"/>
                <w:color w:val="FF0000"/>
              </w:rPr>
              <w:t>номером 07:07:39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925986">
              <w:rPr>
                <w:rFonts w:ascii="Times New Roman" w:hAnsi="Times New Roman"/>
                <w:color w:val="FF0000"/>
              </w:rPr>
              <w:t>:674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925986">
              <w:rPr>
                <w:rFonts w:ascii="Times New Roman" w:hAnsi="Times New Roman"/>
                <w:color w:val="FF0000"/>
              </w:rPr>
              <w:lastRenderedPageBreak/>
              <w:t>07:07:3900000:674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925986">
              <w:rPr>
                <w:rFonts w:ascii="Times New Roman" w:hAnsi="Times New Roman" w:cs="Times New Roman"/>
                <w:color w:val="FF0000"/>
              </w:rPr>
              <w:t>ВторойЛескен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,</w:t>
            </w:r>
            <w:r w:rsidR="00925986">
              <w:rPr>
                <w:rFonts w:ascii="Times New Roman" w:hAnsi="Times New Roman" w:cs="Times New Roman"/>
                <w:color w:val="FF0000"/>
              </w:rPr>
              <w:t>в 350 метрах от Лескенскогомехлесхоза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25986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25986" w:rsidP="00925986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829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восемьсот двадцать девять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79707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2598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925986">
              <w:rPr>
                <w:rFonts w:ascii="Times New Roman" w:hAnsi="Times New Roman" w:cs="Times New Roman"/>
                <w:color w:val="FF0000"/>
              </w:rPr>
              <w:t>154.2 от 31</w:t>
            </w:r>
            <w:r w:rsidR="00D95D69">
              <w:rPr>
                <w:rFonts w:ascii="Times New Roman" w:hAnsi="Times New Roman" w:cs="Times New Roman"/>
                <w:color w:val="FF0000"/>
              </w:rPr>
              <w:t>.07</w:t>
            </w:r>
            <w:r w:rsidR="00741902">
              <w:rPr>
                <w:rFonts w:ascii="Times New Roman" w:hAnsi="Times New Roman" w:cs="Times New Roman"/>
                <w:color w:val="FF0000"/>
              </w:rPr>
              <w:t>.2025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F9354F" w:rsidRDefault="00F9354F" w:rsidP="00F9354F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F9354F">
              <w:rPr>
                <w:rFonts w:ascii="Times New Roman" w:hAnsi="Times New Roman" w:cs="Times New Roman"/>
                <w:color w:val="FF0000"/>
              </w:rPr>
              <w:t>Второй Лескен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,</w:t>
            </w:r>
            <w:r w:rsidR="00F9354F">
              <w:rPr>
                <w:rFonts w:ascii="Times New Roman" w:hAnsi="Times New Roman" w:cs="Times New Roman"/>
                <w:color w:val="FF0000"/>
              </w:rPr>
              <w:t>в 350 метрах от Лескенскогомехлесхоза;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F9354F">
              <w:rPr>
                <w:rFonts w:ascii="Times New Roman" w:hAnsi="Times New Roman"/>
                <w:color w:val="FF0000"/>
              </w:rPr>
              <w:t>07:07:39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781DE7">
              <w:rPr>
                <w:rFonts w:ascii="Times New Roman" w:hAnsi="Times New Roman"/>
                <w:color w:val="FF0000"/>
              </w:rPr>
              <w:t>:</w:t>
            </w:r>
            <w:r w:rsidR="00F9354F">
              <w:rPr>
                <w:rFonts w:ascii="Times New Roman" w:hAnsi="Times New Roman"/>
                <w:color w:val="FF0000"/>
              </w:rPr>
              <w:t>674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F9354F">
              <w:rPr>
                <w:rFonts w:ascii="Times New Roman" w:hAnsi="Times New Roman" w:cs="Times New Roman"/>
                <w:color w:val="FF0000"/>
              </w:rPr>
              <w:t>5</w:t>
            </w:r>
            <w:r w:rsidR="00D95D69">
              <w:rPr>
                <w:rFonts w:ascii="Times New Roman" w:hAnsi="Times New Roman" w:cs="Times New Roman"/>
                <w:color w:val="FF0000"/>
              </w:rPr>
              <w:t xml:space="preserve">000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F9354F">
              <w:rPr>
                <w:rFonts w:ascii="Times New Roman" w:hAnsi="Times New Roman" w:cs="Times New Roman"/>
                <w:color w:val="FF0000"/>
              </w:rPr>
              <w:t>Для ведения личного подсобного хозяйства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»;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4F7C2F" w:rsidRPr="004F7C2F" w:rsidRDefault="00DC13CC" w:rsidP="004F7C2F">
            <w:pPr>
              <w:pStyle w:val="ac"/>
              <w:ind w:left="-284" w:firstLine="568"/>
              <w:jc w:val="both"/>
              <w:rPr>
                <w:rFonts w:ascii="Times New Roman" w:hAnsi="Times New Roman"/>
                <w:color w:val="00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F7C2F" w:rsidRPr="004F7C2F">
              <w:rPr>
                <w:rFonts w:ascii="Times New Roman" w:hAnsi="Times New Roman"/>
                <w:color w:val="000000"/>
              </w:rPr>
              <w:t>Участок не подключен, не имеется техническая возможность подкючения объекта к водопроводным сетям. Участок не подключен к сетям газоснабжения, газопроводов и сооружении нет . Участок не подключен к сетям электроэнергии Лескенских РЭС. Для электроснабжения необходимо установить трансформаторную подстанцию ТП-10/0,4 кВ. Тип и мощность трансформатора определяется проектом. Плата за технологическое присоединение рассчитывается в зависимости от запрашиваемой мощности по утвержденным Государственным Комитетом КБР по энергетике, тарифам и жилищному надзору (ПР, № 184 от 29.11.2024 г.).</w:t>
            </w:r>
          </w:p>
          <w:p w:rsidR="00901C49" w:rsidRPr="00A722B7" w:rsidRDefault="00901C49" w:rsidP="002E209A">
            <w:pPr>
              <w:tabs>
                <w:tab w:val="left" w:pos="421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Дата, время и порядок осмотра земельных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E20B8F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5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BA" w:rsidRDefault="00935CBA" w:rsidP="003F1551">
      <w:r>
        <w:separator/>
      </w:r>
    </w:p>
  </w:endnote>
  <w:endnote w:type="continuationSeparator" w:id="0">
    <w:p w:rsidR="00935CBA" w:rsidRDefault="00935CBA" w:rsidP="003F1551">
      <w:r>
        <w:continuationSeparator/>
      </w:r>
    </w:p>
  </w:endnote>
  <w:endnote w:type="continuationNotice" w:id="1">
    <w:p w:rsidR="00935CBA" w:rsidRDefault="00935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BA" w:rsidRDefault="00935CBA" w:rsidP="003F1551">
      <w:r>
        <w:separator/>
      </w:r>
    </w:p>
  </w:footnote>
  <w:footnote w:type="continuationSeparator" w:id="0">
    <w:p w:rsidR="00935CBA" w:rsidRDefault="00935CBA" w:rsidP="003F1551">
      <w:r>
        <w:continuationSeparator/>
      </w:r>
    </w:p>
  </w:footnote>
  <w:footnote w:type="continuationNotice" w:id="1">
    <w:p w:rsidR="00935CBA" w:rsidRDefault="00935CBA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ED3666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ED3666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797074">
          <w:rPr>
            <w:rFonts w:ascii="Tahoma" w:hAnsi="Tahoma" w:cs="Tahoma"/>
            <w:noProof/>
            <w:sz w:val="20"/>
            <w:szCs w:val="20"/>
          </w:rPr>
          <w:t>3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5964"/>
    <w:rsid w:val="001759ED"/>
    <w:rsid w:val="0017690D"/>
    <w:rsid w:val="001769E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35AA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074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CBA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29A6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3666"/>
    <w:rsid w:val="00ED5136"/>
    <w:rsid w:val="00ED650E"/>
    <w:rsid w:val="00ED653F"/>
    <w:rsid w:val="00ED6FC8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926E-CCC7-4F03-A9E7-2137FF7EE17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BF5BA79-CB00-49A3-87A9-C661B23272C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3C2AEAD-D85D-48DE-8E5A-C9CA876F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5EAD6-818E-4F8C-9225-29E127D5F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08392-3344-48ED-8FD3-A71D2CECCE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1DB0244-A718-4ED1-AF61-FDE1082241C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36503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2025-08-14T12:10:00Z</dcterms:created>
  <dcterms:modified xsi:type="dcterms:W3CDTF">2025-08-14T12:10:00Z</dcterms:modified>
</cp:coreProperties>
</file>